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11 AI ASSIST</w:t>
      </w:r>
    </w:p>
    <w:p>
      <w:pPr>
        <w:pStyle w:val="Title"/>
      </w:pPr>
      <w:r>
        <w:t>Information &amp; Record Gap Worksheet</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Review the supplied materials for references to records, tests, imaging, treatment, providers, follow-up care, dates, or other information that appears unresolved or may point to material not present in what I provided. Draft Tool 11 using only what the sources support.</w:t>
              <w:br/>
              <w:br/>
              <w:t>Do not state that something is missing merely because you cannot find it. Explain what source language caused you to flag the item and identify its location. Distinguish between "referenced but not found in supplied materials," "unclear," "conflicting," and "needs human follow-up."</w:t>
              <w:br/>
              <w:br/>
              <w:t>Do not turn a gap in understanding into a claim deficiency and do not decide what evidence VA requires. Avoid creating duplicate gap rows for the same underlying missing record merely because multiple details about that record are unknown. If an unknown detail, such as the provider/source, is a separate information question needed to close the loop, make clear that it concerns the same underlying record.</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